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6138888"/>
        <w:docPartObj>
          <w:docPartGallery w:val="Cover Pages"/>
          <w:docPartUnique/>
        </w:docPartObj>
      </w:sdtPr>
      <w:sdtEndPr>
        <w:rPr>
          <w:rFonts w:eastAsiaTheme="majorEastAsia" w:cstheme="majorBidi"/>
          <w:b/>
          <w:color w:val="1B6294" w:themeColor="accent1" w:themeShade="BF"/>
          <w:spacing w:val="-10"/>
          <w:kern w:val="28"/>
          <w:sz w:val="24"/>
          <w:szCs w:val="24"/>
        </w:rPr>
      </w:sdtEndPr>
      <w:sdtContent>
        <w:p w14:paraId="7B8FFB91" w14:textId="77777777" w:rsidR="00A36169" w:rsidRDefault="00A36169"/>
        <w:tbl>
          <w:tblPr>
            <w:tblStyle w:val="TableGrid"/>
            <w:tblpPr w:leftFromText="180" w:rightFromText="180" w:vertAnchor="text" w:horzAnchor="margin" w:tblpY="7509"/>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44"/>
            <w:gridCol w:w="4255"/>
          </w:tblGrid>
          <w:tr w:rsidR="00A36169" w14:paraId="305955CD" w14:textId="77777777" w:rsidTr="00A36169">
            <w:tc>
              <w:tcPr>
                <w:tcW w:w="10099" w:type="dxa"/>
                <w:gridSpan w:val="2"/>
              </w:tcPr>
              <w:p w14:paraId="5DB2D319" w14:textId="77777777" w:rsidR="00A36169" w:rsidRPr="00B72114" w:rsidRDefault="00A36169" w:rsidP="00A36169">
                <w:pPr>
                  <w:pStyle w:val="DocTitle"/>
                  <w:rPr>
                    <w:sz w:val="24"/>
                    <w:szCs w:val="24"/>
                    <w14:reflection w14:blurRad="6350" w14:stA="55000" w14:stPos="0" w14:endA="300" w14:endPos="45500" w14:dist="0" w14:dir="5400000" w14:fadeDir="5400000" w14:sx="100000" w14:sy="-100000" w14:kx="0" w14:ky="0" w14:algn="bl"/>
                  </w:rPr>
                </w:pPr>
                <w:r w:rsidRPr="00B72114">
                  <w:rPr>
                    <w:color w:val="1B6294" w:themeColor="accent1" w:themeShade="BF"/>
                    <w:sz w:val="24"/>
                    <w:szCs w:val="24"/>
                  </w:rPr>
                  <w:t>WHITEPAPER</w:t>
                </w:r>
              </w:p>
            </w:tc>
          </w:tr>
          <w:tr w:rsidR="00A36169" w14:paraId="046B567F" w14:textId="77777777" w:rsidTr="00A36169">
            <w:trPr>
              <w:trHeight w:val="1250"/>
            </w:trPr>
            <w:tc>
              <w:tcPr>
                <w:tcW w:w="10099" w:type="dxa"/>
                <w:gridSpan w:val="2"/>
              </w:tcPr>
              <w:sdt>
                <w:sdtPr>
                  <w:rPr>
                    <w:sz w:val="84"/>
                    <w14:reflection w14:blurRad="6350" w14:stA="55000" w14:stPos="0" w14:endA="300" w14:endPos="45500" w14:dist="0" w14:dir="5400000" w14:fadeDir="5400000" w14:sx="100000" w14:sy="-100000" w14:kx="0" w14:ky="0" w14:algn="bl"/>
                  </w:rPr>
                  <w:alias w:val="Title"/>
                  <w:tag w:val=""/>
                  <w:id w:val="-1785331625"/>
                  <w:placeholder>
                    <w:docPart w:val="5EA86C6F4892402C91741BE61BD11512"/>
                  </w:placeholder>
                  <w:dataBinding w:prefixMappings="xmlns:ns0='http://purl.org/dc/elements/1.1/' xmlns:ns1='http://schemas.openxmlformats.org/package/2006/metadata/core-properties' " w:xpath="/ns1:coreProperties[1]/ns0:title[1]" w:storeItemID="{6C3C8BC8-F283-45AE-878A-BAB7291924A1}"/>
                  <w:text/>
                </w:sdtPr>
                <w:sdtEndPr/>
                <w:sdtContent>
                  <w:p w14:paraId="6E3D6CA4" w14:textId="6FDFF0AB" w:rsidR="00A36169" w:rsidRPr="00A92AD5" w:rsidRDefault="006B7E87" w:rsidP="00A36169">
                    <w:pPr>
                      <w:pStyle w:val="DocTitle"/>
                    </w:pPr>
                    <w:r>
                      <w:rPr>
                        <w:sz w:val="84"/>
                        <w14:reflection w14:blurRad="6350" w14:stA="55000" w14:stPos="0" w14:endA="300" w14:endPos="45500" w14:dist="0" w14:dir="5400000" w14:fadeDir="5400000" w14:sx="100000" w14:sy="-100000" w14:kx="0" w14:ky="0" w14:algn="bl"/>
                      </w:rPr>
                      <w:t>Single-Sign-On Options</w:t>
                    </w:r>
                  </w:p>
                </w:sdtContent>
              </w:sdt>
              <w:p w14:paraId="457DC13F" w14:textId="77777777" w:rsidR="00A36169" w:rsidRPr="00B72114" w:rsidRDefault="00A36169" w:rsidP="00A36169">
                <w:pPr>
                  <w:pStyle w:val="DocTitle"/>
                  <w:rPr>
                    <w:sz w:val="16"/>
                    <w:szCs w:val="16"/>
                    <w14:reflection w14:blurRad="6350" w14:stA="55000" w14:stPos="0" w14:endA="300" w14:endPos="45500" w14:dist="0" w14:dir="5400000" w14:fadeDir="5400000" w14:sx="100000" w14:sy="-100000" w14:kx="0" w14:ky="0" w14:algn="bl"/>
                  </w:rPr>
                </w:pPr>
              </w:p>
            </w:tc>
          </w:tr>
          <w:tr w:rsidR="00A36169" w14:paraId="150D839A" w14:textId="77777777" w:rsidTr="00A36169">
            <w:trPr>
              <w:trHeight w:hRule="exact" w:val="72"/>
            </w:trPr>
            <w:tc>
              <w:tcPr>
                <w:tcW w:w="5844" w:type="dxa"/>
                <w:shd w:val="clear" w:color="auto" w:fill="808080" w:themeFill="background1" w:themeFillShade="80"/>
              </w:tcPr>
              <w:p w14:paraId="24E1F9FD" w14:textId="77777777" w:rsidR="00A36169" w:rsidRPr="00765CC3" w:rsidRDefault="00A36169" w:rsidP="00A36169">
                <w:pPr>
                  <w:rPr>
                    <w:color w:val="808080" w:themeColor="background1" w:themeShade="80"/>
                    <w:sz w:val="16"/>
                    <w:szCs w:val="16"/>
                    <w14:reflection w14:blurRad="6350" w14:stA="55000" w14:stPos="0" w14:endA="300" w14:endPos="45500" w14:dist="0" w14:dir="5400000" w14:fadeDir="5400000" w14:sx="100000" w14:sy="-100000" w14:kx="0" w14:ky="0" w14:algn="bl"/>
                  </w:rPr>
                </w:pPr>
              </w:p>
            </w:tc>
            <w:tc>
              <w:tcPr>
                <w:tcW w:w="4255" w:type="dxa"/>
              </w:tcPr>
              <w:p w14:paraId="0C402D10" w14:textId="77777777" w:rsidR="00A36169" w:rsidRPr="00B72114" w:rsidRDefault="00A36169" w:rsidP="00A36169">
                <w:pPr>
                  <w:spacing w:after="160" w:line="259" w:lineRule="auto"/>
                  <w:rPr>
                    <w:color w:val="808080" w:themeColor="background1" w:themeShade="80"/>
                    <w14:reflection w14:blurRad="6350" w14:stA="55000" w14:stPos="0" w14:endA="300" w14:endPos="45500" w14:dist="0" w14:dir="5400000" w14:fadeDir="5400000" w14:sx="100000" w14:sy="-100000" w14:kx="0" w14:ky="0" w14:algn="bl"/>
                  </w:rPr>
                </w:pPr>
              </w:p>
            </w:tc>
          </w:tr>
          <w:tr w:rsidR="00A36169" w14:paraId="038377B9" w14:textId="77777777" w:rsidTr="00A36169">
            <w:tc>
              <w:tcPr>
                <w:tcW w:w="10099" w:type="dxa"/>
                <w:gridSpan w:val="2"/>
              </w:tcPr>
              <w:p w14:paraId="427E54AE" w14:textId="77777777" w:rsidR="00A36169" w:rsidRPr="00765CC3" w:rsidRDefault="00A36169" w:rsidP="00A36169">
                <w:pPr>
                  <w:rPr>
                    <w:color w:val="808080" w:themeColor="background1" w:themeShade="80"/>
                  </w:rPr>
                </w:pPr>
              </w:p>
            </w:tc>
          </w:tr>
          <w:tr w:rsidR="00A36169" w14:paraId="12ACB95A" w14:textId="77777777" w:rsidTr="00A36169">
            <w:tc>
              <w:tcPr>
                <w:tcW w:w="10099" w:type="dxa"/>
                <w:gridSpan w:val="2"/>
              </w:tcPr>
              <w:p w14:paraId="6594A5E2" w14:textId="14EBA962" w:rsidR="00A36169" w:rsidRPr="00765CC3" w:rsidRDefault="006B7E87" w:rsidP="00A36169">
                <w:pPr>
                  <w:rPr>
                    <w:color w:val="808080" w:themeColor="background1" w:themeShade="80"/>
                  </w:rPr>
                </w:pPr>
                <w:r>
                  <w:rPr>
                    <w:color w:val="808080" w:themeColor="background1" w:themeShade="80"/>
                  </w:rPr>
                  <w:t>For Exchange On-premises Migration Scenarios</w:t>
                </w:r>
              </w:p>
            </w:tc>
          </w:tr>
        </w:tbl>
        <w:p w14:paraId="074F7AE7" w14:textId="77777777" w:rsidR="00A36169" w:rsidRDefault="00A36169">
          <w:pPr>
            <w:rPr>
              <w:rFonts w:eastAsiaTheme="majorEastAsia" w:cstheme="majorBidi"/>
              <w:b/>
              <w:color w:val="1B6294" w:themeColor="accent1" w:themeShade="BF"/>
              <w:spacing w:val="-10"/>
              <w:kern w:val="28"/>
              <w:sz w:val="24"/>
              <w:szCs w:val="24"/>
            </w:rPr>
          </w:pPr>
          <w:r>
            <w:rPr>
              <w:rFonts w:eastAsiaTheme="majorEastAsia" w:cstheme="majorBidi"/>
              <w:b/>
              <w:color w:val="1B6294" w:themeColor="accent1" w:themeShade="BF"/>
              <w:spacing w:val="-10"/>
              <w:kern w:val="28"/>
              <w:sz w:val="24"/>
              <w:szCs w:val="24"/>
            </w:rPr>
            <w:br w:type="page"/>
          </w:r>
        </w:p>
      </w:sdtContent>
    </w:sdt>
    <w:p w14:paraId="656B67A0" w14:textId="77777777" w:rsidR="006B7E87" w:rsidRPr="00876882" w:rsidRDefault="006B7E87" w:rsidP="006B7E87">
      <w:pPr>
        <w:pStyle w:val="Title"/>
        <w:rPr>
          <w:color w:val="1A6192" w:themeColor="text2"/>
        </w:rPr>
      </w:pPr>
      <w:r>
        <w:rPr>
          <w:color w:val="1A6192" w:themeColor="text2"/>
        </w:rPr>
        <w:lastRenderedPageBreak/>
        <w:t>Single-Sign-On?</w:t>
      </w:r>
    </w:p>
    <w:p w14:paraId="64734AA7" w14:textId="77777777" w:rsidR="006B7E87" w:rsidRDefault="006B7E87" w:rsidP="006B7E87"/>
    <w:p w14:paraId="3603C73A" w14:textId="77777777" w:rsidR="006B7E87" w:rsidRDefault="006B7E87" w:rsidP="006B7E87">
      <w:r>
        <w:t>For those unfamiliar with the term, Single-Sign-On, abbreviated as SSO, is meant to express an idea of authenticating once on a host or application and that subsequent logon being able to be reused to access other applications, systems, or devices.  Windows has had this ability for a very long time with the concept of a Domain.  Users that logon to a Domain can use that event to access a myriad of other resources that also belong to the same Domain.  In the simplest of use cases, this ability is seen when a logged-on user is able to access a shared file system simply by browsing to the location without a prompt for separate credentials or any other interference.  This is well known in enterprises and is a key attractor to the use of the Microsoft ecosystem.</w:t>
      </w:r>
    </w:p>
    <w:p w14:paraId="49FEDEC0" w14:textId="77777777" w:rsidR="006B7E87" w:rsidRDefault="006B7E87" w:rsidP="006B7E87"/>
    <w:p w14:paraId="6F71F6BC" w14:textId="77777777" w:rsidR="000A0851" w:rsidRDefault="000A0851" w:rsidP="006B7E87"/>
    <w:p w14:paraId="51B44E0E" w14:textId="77777777" w:rsidR="006B7E87" w:rsidRDefault="006B7E87" w:rsidP="006B7E87">
      <w:pPr>
        <w:pStyle w:val="Heading1"/>
      </w:pPr>
      <w:r>
        <w:t>MIGRATION INFLUENCE</w:t>
      </w:r>
    </w:p>
    <w:p w14:paraId="0D2354EB" w14:textId="77777777" w:rsidR="006B7E87" w:rsidRDefault="006B7E87" w:rsidP="006B7E87"/>
    <w:p w14:paraId="1F7D6914" w14:textId="080B8ACF" w:rsidR="006B7E87" w:rsidRDefault="006B7E87" w:rsidP="006B7E87">
      <w:r>
        <w:t xml:space="preserve">When an organization chooses, or is possibly forced (think of an acquisition), to migrate to another environment, it is important to consider the use of SSO since this is one of the first and most visible perception influencers for </w:t>
      </w:r>
      <w:r w:rsidR="000A0851">
        <w:t>end-users.  Users presented with prompts for usernames and passwords which were not requested before a migration can sour the perception of the efforts made, even to the point of stalling or halting valuable progress that is being made.</w:t>
      </w:r>
    </w:p>
    <w:p w14:paraId="3DD8E4A4" w14:textId="6470F7DB" w:rsidR="000A0851" w:rsidRDefault="000A0851" w:rsidP="006B7E87">
      <w:r>
        <w:t>A migration in this context can be of any type:  email, file systems, databases, information directories, applications, etc.  When services and resource consumed by users all share the same authentication framework – Microsoft’s Active Directory – SSO is a natural and easily identified element of value.  When migrating any of these elements to a new or different platform, the preservation of SSO should be considered and implemented if possible, if for no other reason that mitigating the chance of a soured perception by the consumers of those resources.</w:t>
      </w:r>
    </w:p>
    <w:p w14:paraId="2F04C11B" w14:textId="27355A19" w:rsidR="000A0851" w:rsidRDefault="000A0851" w:rsidP="006B7E87">
      <w:r>
        <w:t>This document will focus on Microsoft Exchange and migration scenarios related in an on-premises setup.  Office 365 does have SSO options as well, but are of sufficient difference to require a separate examination of options in a separate document.</w:t>
      </w:r>
    </w:p>
    <w:p w14:paraId="39951437" w14:textId="77777777" w:rsidR="000A0851" w:rsidRDefault="000A0851" w:rsidP="006B7E87"/>
    <w:p w14:paraId="45BC0E25" w14:textId="77777777" w:rsidR="000A0851" w:rsidRDefault="000A0851" w:rsidP="006B7E87"/>
    <w:p w14:paraId="44CE3BEF" w14:textId="042EE20B" w:rsidR="000A0851" w:rsidRDefault="000A0851" w:rsidP="000A0851">
      <w:pPr>
        <w:pStyle w:val="Heading1"/>
      </w:pPr>
      <w:r>
        <w:t>FUNDAMENTALS</w:t>
      </w:r>
    </w:p>
    <w:p w14:paraId="02137227" w14:textId="77777777" w:rsidR="000A0851" w:rsidRDefault="000A0851" w:rsidP="006B7E87"/>
    <w:p w14:paraId="36DE2B46" w14:textId="243291A3" w:rsidR="000A0851" w:rsidRDefault="00D1635B" w:rsidP="006B7E87">
      <w:r>
        <w:t>Before providing the options available for SSO during an Exchange Migration, it may be best to examine some fundamental elements.  Doing so will allow for a later ability to answer questions that may arise that are scenario driven, unique, or unknown at the moment.  For those that already have deep knowledge on Microsoft Windows Domains and security implementations, feel free to scan or skip this section.</w:t>
      </w:r>
    </w:p>
    <w:p w14:paraId="6FB23F48" w14:textId="663D7AAF" w:rsidR="00D1635B" w:rsidRDefault="000433A6" w:rsidP="006B7E87">
      <w:r>
        <w:lastRenderedPageBreak/>
        <w:t>In addition, this is no</w:t>
      </w:r>
      <w:r>
        <w:t>t</w:t>
      </w:r>
      <w:r>
        <w:t xml:space="preserve"> meant to be a course of information used to prepare for some test or certification.  The information here comes from both real-world experience, developer comments, and available Microsoft documentation.</w:t>
      </w:r>
    </w:p>
    <w:p w14:paraId="450EDCE8" w14:textId="77777777" w:rsidR="000433A6" w:rsidRDefault="000433A6" w:rsidP="006B7E87"/>
    <w:p w14:paraId="4309E405" w14:textId="6D7D6A6E" w:rsidR="00D1635B" w:rsidRDefault="00D1635B" w:rsidP="00D1635B">
      <w:pPr>
        <w:pStyle w:val="Heading2"/>
      </w:pPr>
      <w:r>
        <w:t>Active Directory Domain</w:t>
      </w:r>
    </w:p>
    <w:p w14:paraId="4F9A3686" w14:textId="3E609152" w:rsidR="00D1635B" w:rsidRDefault="00D1635B" w:rsidP="00D1635B">
      <w:r>
        <w:t xml:space="preserve">The first element to introduce is the Domain.  This element has many broad topics and the focus here will be simply on the security features provided by Active Directory.  </w:t>
      </w:r>
      <w:r w:rsidR="000433A6">
        <w:t>The AD Domain is best thought of as a shared authentication container.  Applications, devices, and services that are able to integrate with the Domain can use the security features it provides to both challenge and validate authentication and to provide enumerated “rights” to access resources provided by those same applications, devices, and services.</w:t>
      </w:r>
    </w:p>
    <w:p w14:paraId="4C3C3F98" w14:textId="54A9012E" w:rsidR="000433A6" w:rsidRDefault="000433A6" w:rsidP="00D1635B">
      <w:r>
        <w:t xml:space="preserve">The Domain in this context would be characterized by all constituents adhering to the same rules and </w:t>
      </w:r>
      <w:r w:rsidR="001A13FA">
        <w:t>attributes of the security provided by the Domain.</w:t>
      </w:r>
    </w:p>
    <w:p w14:paraId="69AE0955" w14:textId="2E6F48F7" w:rsidR="001A13FA" w:rsidRDefault="001A13FA" w:rsidP="00D1635B">
      <w:r>
        <w:t>As a complement, Microsoft also has the concept of an Active Directory Forest, which can be a hierarchical groping of Domains.  It is possible in this context to easily allow authentication in one Domain to be accepted by other domains in the same forest, or to not allow or some mixture in-between.</w:t>
      </w:r>
    </w:p>
    <w:p w14:paraId="5CD6906B" w14:textId="151E971A" w:rsidR="001A13FA" w:rsidRDefault="001A13FA" w:rsidP="00D1635B">
      <w:r>
        <w:t>The security function of the Domain comes from provide two main aspects:  identity and authentication.  In the case of identity, Active Directory provides several “principal” objects that can be allowed to authenticate to the domain.  There are also several other object types that are non-principal and cannot be used to authenticate.</w:t>
      </w:r>
    </w:p>
    <w:p w14:paraId="19C42726" w14:textId="5226713A" w:rsidR="001A13FA" w:rsidRDefault="001A13FA" w:rsidP="00D1635B">
      <w:r>
        <w:t>The authentication aspect of the domain is to validate the identity and to challenge and accept or deny that identity’s proof of itself.  This is commonly done but providing a username (the identity) and a password (the proof), but is not an exclusive option and due to the extensible nature of many of Microsoft’s core software offerings, can have other options for authentication like certificates and “crypto” cards or others.  In the end, the result is the same, a proof of identity is made.</w:t>
      </w:r>
    </w:p>
    <w:p w14:paraId="29BCFC43" w14:textId="38057BF3" w:rsidR="001A13FA" w:rsidRDefault="001A13FA" w:rsidP="00D1635B">
      <w:r>
        <w:t xml:space="preserve">When the “proof of identity” is made and accepted by the Domain, a “token” is returned that is sort of like a badge that can be shown to other applications, devices, or services.  This token is an in-memory block of information that describes the identity and optional secondary identities for the principal that was authenticated, which is primarily a “user account”.  It is very similar to receiving a visitor badge at a secured facility.  This badge can be presented to “scanners” to open doors, elevators, or even access computers.  The badge may even have been encoded with an expiration date/time so that after a few hours it no longer is accepted – an analog to </w:t>
      </w:r>
      <w:r w:rsidR="009E44FF">
        <w:t>password expirations.</w:t>
      </w:r>
    </w:p>
    <w:p w14:paraId="4570F3DE" w14:textId="77777777" w:rsidR="009E44FF" w:rsidRDefault="009E44FF" w:rsidP="00D1635B"/>
    <w:p w14:paraId="3ECBD64C" w14:textId="00A74098" w:rsidR="009E44FF" w:rsidRDefault="009E44FF" w:rsidP="009E44FF">
      <w:pPr>
        <w:pStyle w:val="Heading2"/>
      </w:pPr>
      <w:r>
        <w:t>Security Identifier</w:t>
      </w:r>
    </w:p>
    <w:p w14:paraId="2CE8F90D" w14:textId="599CB13D" w:rsidR="009E44FF" w:rsidRDefault="009E44FF" w:rsidP="00D1635B">
      <w:r>
        <w:t xml:space="preserve">As expressed prior, one of the primary functions of Active Directory is to provide identities.  For “principal” objects, the same will have an attribute associated with it called a Security Identifier, or SID.  The SID is a binary value that is a composite </w:t>
      </w:r>
      <w:r w:rsidR="002529F9">
        <w:t>of values, some which identify</w:t>
      </w:r>
      <w:r>
        <w:t xml:space="preserve"> the Domain in which the identity is a member, some flags and description of the type of identity, and a unique identifier</w:t>
      </w:r>
      <w:r w:rsidR="002529F9">
        <w:t xml:space="preserve"> (often a numerical advancing value)</w:t>
      </w:r>
      <w:r>
        <w:t>.</w:t>
      </w:r>
      <w:r w:rsidR="002529F9">
        <w:t xml:space="preserve">  This value, the SID, can just be considered opaquely for most conversations.</w:t>
      </w:r>
    </w:p>
    <w:p w14:paraId="19485648" w14:textId="628DF634" w:rsidR="009E44FF" w:rsidRDefault="009E44FF" w:rsidP="009E44FF">
      <w:pPr>
        <w:pStyle w:val="Heading2"/>
      </w:pPr>
      <w:r>
        <w:lastRenderedPageBreak/>
        <w:t>Logon Token</w:t>
      </w:r>
    </w:p>
    <w:p w14:paraId="486445E1" w14:textId="2FACE492" w:rsidR="009E44FF" w:rsidRDefault="009E44FF" w:rsidP="00D1635B">
      <w:r>
        <w:t xml:space="preserve">The logon token is a term used in the Microsoft ecosystem and has a few key elements that will be used later in this document.  </w:t>
      </w:r>
      <w:r w:rsidR="00671500">
        <w:t>This “token” is essentially a listing of all the SIDs that are associated with the specified identity, including the SID of the identity itself.  Each security group, and possibly the list of values from the “SID History”, is added to the logon token by the authenticating Domain Controller before it is handed back to the requesting application, device, or service.  The SID</w:t>
      </w:r>
      <w:r w:rsidR="00C9397D">
        <w:t>-</w:t>
      </w:r>
      <w:r w:rsidR="00671500">
        <w:t>History will be examined separately later in this document.</w:t>
      </w:r>
    </w:p>
    <w:p w14:paraId="1BEADE83" w14:textId="15976AD1" w:rsidR="00DC2B0F" w:rsidRDefault="00DC2B0F" w:rsidP="00D1635B">
      <w:r>
        <w:t>The following is the output from the Microsoft “</w:t>
      </w:r>
      <w:proofErr w:type="spellStart"/>
      <w:r>
        <w:t>whoami</w:t>
      </w:r>
      <w:proofErr w:type="spellEnd"/>
      <w:r>
        <w:t>” utility:</w:t>
      </w:r>
    </w:p>
    <w:p w14:paraId="0A12FD98" w14:textId="1AF293C2" w:rsidR="00DC2B0F" w:rsidRDefault="00DC2B0F" w:rsidP="00D1635B">
      <w:r w:rsidRPr="00DC2B0F">
        <w:drawing>
          <wp:inline distT="0" distB="0" distL="0" distR="0" wp14:anchorId="671B2C80" wp14:editId="0D5521B1">
            <wp:extent cx="6400800" cy="2821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2821940"/>
                    </a:xfrm>
                    <a:prstGeom prst="rect">
                      <a:avLst/>
                    </a:prstGeom>
                  </pic:spPr>
                </pic:pic>
              </a:graphicData>
            </a:graphic>
          </wp:inline>
        </w:drawing>
      </w:r>
    </w:p>
    <w:p w14:paraId="10E1B8C3" w14:textId="77777777" w:rsidR="00671500" w:rsidRDefault="00671500" w:rsidP="00D1635B"/>
    <w:p w14:paraId="3E79C5AA" w14:textId="61A95078" w:rsidR="00671500" w:rsidRDefault="00671500" w:rsidP="00671500">
      <w:pPr>
        <w:pStyle w:val="Heading2"/>
      </w:pPr>
      <w:r>
        <w:t>Access Control List</w:t>
      </w:r>
    </w:p>
    <w:p w14:paraId="3780E44F" w14:textId="44823D8E" w:rsidR="00671500" w:rsidRDefault="00DC2B0F" w:rsidP="00D1635B">
      <w:r>
        <w:t>The Access Control List, abbreviated as ACL, is a list of SID values and numeric “rights” values, and possibly other “permission” elements as determined by the ACL owner.  Different applications, devices, and services can have different uses for the values in the ACL, but the format is common across all and Microsoft provides developers APIs to interact with ACLs.</w:t>
      </w:r>
    </w:p>
    <w:p w14:paraId="6AA484A9" w14:textId="140953EE" w:rsidR="00DC2B0F" w:rsidRDefault="00DC2B0F" w:rsidP="00D1635B">
      <w:r>
        <w:t>It is important to note that the ACL is implemented, managed, and controlled by the application that hosts it.  There are no rules dictated with regards to how things like inheritance or order are applied; such is at the discretion of the developer.</w:t>
      </w:r>
    </w:p>
    <w:p w14:paraId="18EE9651" w14:textId="6B754449" w:rsidR="00DC2B0F" w:rsidRDefault="00DC2B0F" w:rsidP="00D1635B">
      <w:r>
        <w:t xml:space="preserve">For example, Active Directory uses the ACLs to control access to objects in the directory, including the directory “containers” and Organizational Units as well as other objects types.  AD support inheritance “chains” where the SIDs set in an ACL on a parent or ancestor node can be applied to a child element without repeating the ACL on each subordinate object.  In contrast, a windows file server – which can also have a directory hierarchy – doesn’t inherit this way: each folder in a file system maintains its own ACL, exclusive of parent folders such that changes to a parent folder do not </w:t>
      </w:r>
      <w:r>
        <w:rPr>
          <w:i/>
        </w:rPr>
        <w:t>automatically</w:t>
      </w:r>
      <w:r>
        <w:t xml:space="preserve"> apply to child folders.</w:t>
      </w:r>
    </w:p>
    <w:p w14:paraId="00FC55D4" w14:textId="37FFD216" w:rsidR="00DC2B0F" w:rsidRDefault="00DC2B0F" w:rsidP="00D1635B">
      <w:r>
        <w:t xml:space="preserve">Microsoft Exchange is not unique in its use of ACLs in a general sense, simply because it uses Microsoft’s published APIs and developer frameworks for security.  Many different objects in Exchange can be secured by an ACL: mailboxes, servers, folders, items, etc.  Similar to file systems, Exchange doesn’t provide automatic parent/ancestor inheritance.  Folders in Microsoft Exchange will “inherit” </w:t>
      </w:r>
      <w:r>
        <w:lastRenderedPageBreak/>
        <w:t>permissions only from the immediate parent folder and such is done by copying the parent folder’s “inheritable” permissions to the new object.  After the object is created, changes to the parent folder’s ACL don’t affect the child folder’s ACL.</w:t>
      </w:r>
    </w:p>
    <w:p w14:paraId="0D8D14CE" w14:textId="3976692B" w:rsidR="00394ADF" w:rsidRDefault="00394ADF" w:rsidP="00D1635B">
      <w:r>
        <w:t xml:space="preserve">Also note that the ACL that exists for a mailbox object is technically stored in the exchange database, not in Active Directory.  While it is true that there is an AD property – </w:t>
      </w:r>
      <w:proofErr w:type="spellStart"/>
      <w:r>
        <w:t>msExchMailboxSecurityDescriptor</w:t>
      </w:r>
      <w:proofErr w:type="spellEnd"/>
      <w:r>
        <w:t xml:space="preserve"> – that appears to have this value, such is a copy of what exists on the mailbox in the database.  Changes to this Active Directory attribute do not cause changes in the Exchange database.  It can be used to read and report on permissions, but it should also be understood there can be micro-delays (or longer) between mailbox permissions in the database and those same changes appearing on an Active Directory object.</w:t>
      </w:r>
    </w:p>
    <w:p w14:paraId="1C530552" w14:textId="77777777" w:rsidR="00DC2B0F" w:rsidRDefault="00DC2B0F" w:rsidP="00D1635B"/>
    <w:p w14:paraId="04AF852D" w14:textId="506ABCB0" w:rsidR="002B22E3" w:rsidRDefault="002B22E3" w:rsidP="002B22E3">
      <w:pPr>
        <w:pStyle w:val="Heading2"/>
      </w:pPr>
      <w:r>
        <w:t>Access Checks</w:t>
      </w:r>
    </w:p>
    <w:p w14:paraId="5C94B82F" w14:textId="6DCC06B7" w:rsidR="002B22E3" w:rsidRDefault="002B22E3" w:rsidP="00D1635B">
      <w:r>
        <w:t>Now that the fundamental elements of Identity, Access Token (a synonym for Logon Token), and ACL have been introduced, the concept of the Access Check can be explained.</w:t>
      </w:r>
    </w:p>
    <w:p w14:paraId="2AC1F475" w14:textId="2E8EBB46" w:rsidR="002B22E3" w:rsidRDefault="002B22E3" w:rsidP="00D1635B">
      <w:r>
        <w:t>When an application, device, or service that chooses to use Windows security receives a request from a client to access one of its resources, it has the option of doing an access check to determine if the requester is allowed to access the resource and, if allowed, the amount of access the client should have.  Note that it is solely up to the application developers to choose to use the access check routine and there can be parts of some software that implement the access check on only specific elements of its system, while other software may perform an access check on nearly every element or resource it provides.</w:t>
      </w:r>
    </w:p>
    <w:p w14:paraId="18D7EC3E" w14:textId="5F56A9F6" w:rsidR="002B22E3" w:rsidRDefault="002B22E3" w:rsidP="00D1635B">
      <w:r>
        <w:t>The access check routine, in a simplistic description, is a comparison of the requester’s “access token” to the list of SIDs on the ACL.  If there’s a match between one of the SIDs of the access token and one of the SIDs in the ACL of the resource, the “rights” assigned to that SID in the ACL determine what the requesting application can do.</w:t>
      </w:r>
    </w:p>
    <w:p w14:paraId="2183FB91" w14:textId="16C1166D" w:rsidR="002B22E3" w:rsidRDefault="002B22E3" w:rsidP="00D1635B">
      <w:r>
        <w:t>In some more complicated scenarios, the first access check may just be to establish that the requesting application has some access, but then a second access check is made for some custom feature or the like.  Again, all is up to the developers of the application.</w:t>
      </w:r>
    </w:p>
    <w:p w14:paraId="075EDC7B" w14:textId="7E80C5A5" w:rsidR="00394ADF" w:rsidRDefault="002B22E3" w:rsidP="00D1635B">
      <w:r>
        <w:t>Microsoft provides t</w:t>
      </w:r>
      <w:r w:rsidR="00394ADF">
        <w:t>w</w:t>
      </w:r>
      <w:r>
        <w:t xml:space="preserve">o main types of ACL entries:  ALLOW and DENY.  As their names suggest, one type allows access with the specified “rights” while the other denies access of the specified “rights”.  The most common flow of this is that a DENY right </w:t>
      </w:r>
      <w:r w:rsidR="00394ADF">
        <w:t>supersedes an ALLOW, even if this ALLOW entry is explicitly for a user or specific right.</w:t>
      </w:r>
    </w:p>
    <w:p w14:paraId="042C1AAA" w14:textId="3482809F" w:rsidR="00394ADF" w:rsidRPr="00DC2B0F" w:rsidRDefault="00394ADF" w:rsidP="00D1635B"/>
    <w:p w14:paraId="51A9EFC6" w14:textId="516F7576" w:rsidR="004519FE" w:rsidRDefault="00ED0EEE" w:rsidP="00ED0EEE">
      <w:pPr>
        <w:pStyle w:val="Heading1"/>
      </w:pPr>
      <w:r>
        <w:t>SINGLE-SIGN-ON OPTIONS</w:t>
      </w:r>
    </w:p>
    <w:p w14:paraId="3BFA10AD" w14:textId="77777777" w:rsidR="00ED0EEE" w:rsidRDefault="00ED0EEE" w:rsidP="00ED0EEE"/>
    <w:p w14:paraId="035E8A67" w14:textId="088CF6FF" w:rsidR="00ED0EEE" w:rsidRDefault="00ED0EEE" w:rsidP="00ED0EEE">
      <w:r>
        <w:t>Given the preceding descriptions of how identities and access work, these elements can allow for a single-sign-on experience for users and applications, provided that the services being requested allow for such.</w:t>
      </w:r>
    </w:p>
    <w:p w14:paraId="5CF044D1" w14:textId="32A2F6AB" w:rsidR="00ED0EEE" w:rsidRDefault="00ED0EEE" w:rsidP="00ED0EEE">
      <w:r>
        <w:t>The following options for SSO are valid for the context of Microsoft Exchange.</w:t>
      </w:r>
      <w:r w:rsidR="00F6617C">
        <w:t xml:space="preserve">  Some of the options presented are exclusive to Microsoft Exchange while others are more generic and work for any application or service.</w:t>
      </w:r>
    </w:p>
    <w:p w14:paraId="13620693" w14:textId="00B60042" w:rsidR="00F6617C" w:rsidRDefault="00F6617C" w:rsidP="00F6617C">
      <w:pPr>
        <w:pStyle w:val="Heading2"/>
      </w:pPr>
      <w:r>
        <w:lastRenderedPageBreak/>
        <w:t xml:space="preserve">SID Future </w:t>
      </w:r>
    </w:p>
    <w:p w14:paraId="1CA3DEA8" w14:textId="43F53CDE" w:rsidR="00A348B5" w:rsidRDefault="00A348B5" w:rsidP="00A348B5">
      <w:r>
        <w:t>This is an option that Priasoft has “coined” and is the recommended and often preferred method for SSO.  This SSO pattern involves the use of Microsoft’s SID History value and feature and the appropriate windows “trust” between domains.</w:t>
      </w:r>
    </w:p>
    <w:p w14:paraId="799F211B" w14:textId="259EC9A4" w:rsidR="00A940DC" w:rsidRDefault="00A940DC" w:rsidP="00A348B5">
      <w:r>
        <w:t xml:space="preserve">In Microsoft’s implementation of their LDAP directory service, Active Directory, they added a feature whereby a list of previous SIDs could be associated with a principal identity (primarily for user accounts).  This value, called </w:t>
      </w:r>
      <w:proofErr w:type="spellStart"/>
      <w:r>
        <w:t>SIDHistory</w:t>
      </w:r>
      <w:proofErr w:type="spellEnd"/>
      <w:r>
        <w:t>, has been available since Windows 2000 Server.  Microsoft provided this feature to help in the transition from the antiquated “Windows NT” domain model to the directory model.  As such, this is a core feature of Windows that has been “well baked” and tested over more than a decade.</w:t>
      </w:r>
    </w:p>
    <w:p w14:paraId="0ABA3C0F" w14:textId="01C520BC" w:rsidR="00A940DC" w:rsidRDefault="00A940DC" w:rsidP="00A348B5">
      <w:r>
        <w:t>The typical use of the SID History is by migrating user accounts from an old domain to a new or different domain first, ahead of applications and services.  In this use pattern, users logging in to the new domain would have natural access to older applications and services still hosted in the older source domain.  This allowed quick and easy adoption of the newer platform with less concern about the legacy applications and services.</w:t>
      </w:r>
    </w:p>
    <w:p w14:paraId="70BF9BB3" w14:textId="1F50B662" w:rsidR="00A940DC" w:rsidRDefault="00A940DC" w:rsidP="00A348B5">
      <w:r>
        <w:t>This feature is still commonly used for the same reason and purpose.  When organizations are acquired, or when the desire is to move to a new and freshly architected target, users can migrate first, with SID History and still access most of the legacy resources.</w:t>
      </w:r>
    </w:p>
    <w:p w14:paraId="3C157C5C" w14:textId="7320479B" w:rsidR="00A940DC" w:rsidRDefault="00A940DC" w:rsidP="00A348B5">
      <w:r>
        <w:t>The “History” term in the value name implies age and prior use, which is true in the use cases presented.  Users are given new SIDs from the new environment, and have a “history” of prior identities to access the old.</w:t>
      </w:r>
    </w:p>
    <w:p w14:paraId="312F0003" w14:textId="2580E065" w:rsidR="00A940DC" w:rsidRDefault="00A940DC" w:rsidP="00A348B5">
      <w:r>
        <w:t>Using this same technology and capability in reverse prompted the term “SID Future”.  In this use pattern, instead of migrating users first to the target environment, applications and services migrate first and Active Directory (and the users, groups, and related objects) migrate last, or nearly last.</w:t>
      </w:r>
      <w:r w:rsidR="00E153EF">
        <w:t xml:space="preserve">  This is often a design choice made because although many applications and services are “directory integrated”, there are also many that are not.  Migrating user accounts first can frustrate users since they might not be able to use those legacy or source environment applications that are not directory-integrated.</w:t>
      </w:r>
    </w:p>
    <w:p w14:paraId="24B3EC67" w14:textId="05FAC606" w:rsidR="00E153EF" w:rsidRDefault="00E153EF" w:rsidP="00A348B5">
      <w:r>
        <w:t xml:space="preserve">In the SID Future concept, the SIDs of target accounts are brought back to the source users so that users will have two identities:  the primary SID from the source domain, and an additional SID from the target.  As applications are migrated or instantiated in the target domain, the user accounts </w:t>
      </w:r>
      <w:r>
        <w:rPr>
          <w:i/>
        </w:rPr>
        <w:t>in the target domain</w:t>
      </w:r>
      <w:r>
        <w:t xml:space="preserve"> can be used to grant access to resources in that same target domain.  This makes security management intuitive and easy, and saves later conversion steps for ACLs.</w:t>
      </w:r>
    </w:p>
    <w:p w14:paraId="783435A4" w14:textId="03EE873F" w:rsidR="00E153EF" w:rsidRDefault="00E153EF" w:rsidP="00A348B5">
      <w:r>
        <w:t>Note also, in this model of SID Future, password sync might not be necessary because the source domain does the authentication, and the target domain accepts the access token created – this is by the use of the windows “trust”.</w:t>
      </w:r>
    </w:p>
    <w:p w14:paraId="6727FBAA" w14:textId="3A2FE623" w:rsidR="00E153EF" w:rsidRDefault="00E153EF" w:rsidP="00A348B5">
      <w:r>
        <w:t>In summary, SID Future uses a tenured, highly implemented feature that is natural to Windows and Active Directory.  It is not application specific and any application or service that can use Active Directory for security receives the benefit of this use, including Microsoft Exchange.</w:t>
      </w:r>
    </w:p>
    <w:p w14:paraId="010BBBCA" w14:textId="7FAA6DF1" w:rsidR="00E153EF" w:rsidRDefault="00E153EF" w:rsidP="00A348B5">
      <w:r>
        <w:t>In the context of Microsoft Exchange, the use of SID Future also removes additional “rework and cleanup” presented by the Linked Mailbox feature (see below).</w:t>
      </w:r>
    </w:p>
    <w:p w14:paraId="12BBB7AF" w14:textId="77777777" w:rsidR="00EA6F46" w:rsidRDefault="00EA6F46" w:rsidP="00A348B5"/>
    <w:p w14:paraId="468272D7" w14:textId="63586856" w:rsidR="00EA6F46" w:rsidRDefault="00EA6F46" w:rsidP="00EA6F46">
      <w:pPr>
        <w:pStyle w:val="Heading2"/>
      </w:pPr>
      <w:r>
        <w:lastRenderedPageBreak/>
        <w:t>Linked Mailboxes</w:t>
      </w:r>
    </w:p>
    <w:p w14:paraId="157C79C6" w14:textId="60158F24" w:rsidR="00EA6F46" w:rsidRDefault="00EE7214" w:rsidP="00A348B5">
      <w:r>
        <w:t>The “Linked Mailbox”</w:t>
      </w:r>
      <w:r w:rsidR="00EA6F46">
        <w:t xml:space="preserve"> is also a feature that can provide SSO for Exchange, but is exclusive to Microsoft Exchange.  Furthermore, non-Microsoft clients often have issue with this setup because the concept and use is very much a </w:t>
      </w:r>
      <w:r>
        <w:t xml:space="preserve">Microsoft </w:t>
      </w:r>
      <w:r w:rsidR="00EA6F46">
        <w:t xml:space="preserve">Windows and Exchange feature.  </w:t>
      </w:r>
    </w:p>
    <w:p w14:paraId="51A7890D" w14:textId="4CCE4AE7" w:rsidR="00EA6F46" w:rsidRDefault="00EE7214" w:rsidP="00A348B5">
      <w:r>
        <w:t xml:space="preserve">When Exchange is installed in a domain/forest, it extends the schema (the core list of objects and attributes for objects) to support new properties for things like the location of the mailbox database for a user, and other Exchange specific features.  In the set of attributes that are added to Active Directory, Exchange adds a value for user accounts called the “Linked Master Account” (in LDAP it is </w:t>
      </w:r>
      <w:proofErr w:type="spellStart"/>
      <w:r>
        <w:t>msExchMasterAccountSID</w:t>
      </w:r>
      <w:proofErr w:type="spellEnd"/>
      <w:r>
        <w:t>).</w:t>
      </w:r>
    </w:p>
    <w:p w14:paraId="3B873378" w14:textId="2C935BC4" w:rsidR="00EE7214" w:rsidRDefault="00EE7214" w:rsidP="00A348B5">
      <w:r>
        <w:t>The Linked Master Account (LMA) is a SID of a user account from a trusted windows remote domain (note that linked mailboxes between domains of the same forest are not supported).  The SSO for such a setup occurs because when an Exchange server receives a request for access to a resource, it can compare the SIDs in the access token presented to the LMA, and if a match exists, Exchange will accept the token and allow access.</w:t>
      </w:r>
    </w:p>
    <w:p w14:paraId="5D5B0AE2" w14:textId="77D35599" w:rsidR="00EE7214" w:rsidRDefault="00EE7214" w:rsidP="00A348B5">
      <w:r>
        <w:t xml:space="preserve">In contrast to SID History, the schema extension made by Exchange only allows for a single value to exist on the LMA, however SID History can have multiple values, for cases where a user has been migrated several times or needs access to several source environments with a single identity.  In addition, extra rules are required before Exchange will accept the use of the LMA.  </w:t>
      </w:r>
      <w:r>
        <w:br/>
        <w:t>These extra rules are:</w:t>
      </w:r>
    </w:p>
    <w:p w14:paraId="0187D994" w14:textId="7E3563E6" w:rsidR="00EE7214" w:rsidRDefault="00EE7214" w:rsidP="00EE7214">
      <w:pPr>
        <w:pStyle w:val="ListParagraph"/>
        <w:numPr>
          <w:ilvl w:val="0"/>
          <w:numId w:val="2"/>
        </w:numPr>
      </w:pPr>
      <w:r>
        <w:t xml:space="preserve">The “mailbox account” </w:t>
      </w:r>
      <w:r>
        <w:rPr>
          <w:i/>
        </w:rPr>
        <w:t>must be a disabled user account</w:t>
      </w:r>
      <w:r>
        <w:t>.</w:t>
      </w:r>
    </w:p>
    <w:p w14:paraId="35E71C4C" w14:textId="2959687F" w:rsidR="00EE7214" w:rsidRDefault="00EE7214" w:rsidP="00EE7214">
      <w:pPr>
        <w:pStyle w:val="ListParagraph"/>
        <w:numPr>
          <w:ilvl w:val="0"/>
          <w:numId w:val="2"/>
        </w:numPr>
      </w:pPr>
      <w:r>
        <w:t xml:space="preserve">The “mailbox account” must have an additional value set indicating the enabled/disabled state of the account (search for </w:t>
      </w:r>
      <w:proofErr w:type="spellStart"/>
      <w:r>
        <w:t>msExchUserAccountControl</w:t>
      </w:r>
      <w:proofErr w:type="spellEnd"/>
      <w:r>
        <w:t xml:space="preserve"> for more information)</w:t>
      </w:r>
    </w:p>
    <w:p w14:paraId="660A948B" w14:textId="2EC114E8" w:rsidR="00EE7214" w:rsidRDefault="00EE7214" w:rsidP="00EE7214">
      <w:pPr>
        <w:pStyle w:val="ListParagraph"/>
        <w:numPr>
          <w:ilvl w:val="0"/>
          <w:numId w:val="2"/>
        </w:numPr>
      </w:pPr>
      <w:r>
        <w:t xml:space="preserve">The authentication </w:t>
      </w:r>
      <w:r>
        <w:rPr>
          <w:i/>
        </w:rPr>
        <w:t>must occur in the source domain</w:t>
      </w:r>
      <w:r>
        <w:t xml:space="preserve"> and the resulting access token passed to the Exchange server.</w:t>
      </w:r>
    </w:p>
    <w:p w14:paraId="52AC157C" w14:textId="704E434F" w:rsidR="00EE7214" w:rsidRDefault="002041AE" w:rsidP="002041AE">
      <w:r>
        <w:t>Linked Mailboxes do provide nice SSO capabilities, but as implemented only provide value for Exchange.  Other applications or services – a network file share, or a SQL database, for example – have no knowledge or ability to use this feature.  It is for this reason that Priasoft primarily recommends the SID Future approach.</w:t>
      </w:r>
    </w:p>
    <w:p w14:paraId="68F09342" w14:textId="7571BF75" w:rsidR="002041AE" w:rsidRDefault="002041AE" w:rsidP="002041AE">
      <w:r>
        <w:t>Linked Mailboxes are not without challenges, however.  Since this SSO capability solely relies on an authentication routine occurring in the source domain, any application, device, or service that cannot “authenticate in one domain, then pass the token to exchange” will have issues.  For example, a mobile mail client may have issues because the URL or host with which the client initially communicates is likely to be the Exchange server or a host in the target domain and will expect to perform authentication routines in that environment.  Secondarily to this, because of the rule that the “mailbox account” must be a disabled user, it cannot be used for authentication.</w:t>
      </w:r>
    </w:p>
    <w:p w14:paraId="2AA0C9FD" w14:textId="1E759679" w:rsidR="002041AE" w:rsidRDefault="002041AE" w:rsidP="002041AE">
      <w:r>
        <w:t>Another challenge of Linked Mailboxes involves the use of security groups.  Consider a situation where, prior to migration, a security group is used to control access to a shared mailbox.  Members of the group are allowed to open the shared mailbox.  When the shared mailbox is migrated to the target Exchange environment, the LMA is expected to be the SID of a user account, not a GROUP and access is not available.</w:t>
      </w:r>
    </w:p>
    <w:p w14:paraId="201A6F02" w14:textId="41DB773C" w:rsidR="002041AE" w:rsidRDefault="002041AE" w:rsidP="002041AE">
      <w:r>
        <w:t xml:space="preserve">Next, consider a case where after migrations have started or completed, a new shared mailbox is requested and is created only in the target environment.  A group from a remote domain cannot be used to control access to an Exchange object in a different domain.  This stems from Active Directory </w:t>
      </w:r>
      <w:r>
        <w:lastRenderedPageBreak/>
        <w:t>rules with regards to Universal Groups – Microsoft Exchange requires that security groups that control access to Exchange objects be Mail-Enabled Universal Groups.  Other group types are ignored for security.</w:t>
      </w:r>
      <w:r w:rsidR="002D56CC">
        <w:t xml:space="preserve">  Furthermore, there is no concept of a “Linked Mail Group”.</w:t>
      </w:r>
    </w:p>
    <w:p w14:paraId="7A87ABEC" w14:textId="0DAB4661" w:rsidR="002D56CC" w:rsidRDefault="002D56CC" w:rsidP="002041AE">
      <w:r>
        <w:t>SID Future does not suffer from these issues since it operates at the domain level, not at the application level.</w:t>
      </w:r>
    </w:p>
    <w:p w14:paraId="2F63406C" w14:textId="77777777" w:rsidR="002D56CC" w:rsidRDefault="002D56CC" w:rsidP="002041AE"/>
    <w:p w14:paraId="0C6790DB" w14:textId="77B98EAD" w:rsidR="002D56CC" w:rsidRDefault="00356F9B" w:rsidP="002D56CC">
      <w:pPr>
        <w:pStyle w:val="Heading2"/>
      </w:pPr>
      <w:proofErr w:type="spellStart"/>
      <w:r>
        <w:t>Passthru</w:t>
      </w:r>
      <w:proofErr w:type="spellEnd"/>
      <w:r>
        <w:t xml:space="preserve"> | Password Sync</w:t>
      </w:r>
    </w:p>
    <w:p w14:paraId="5646CF6B" w14:textId="3D3DDD81" w:rsidR="00CD4FC3" w:rsidRDefault="00356F9B" w:rsidP="002D56CC">
      <w:r>
        <w:t>This SSO option is, at best, a trick.  Windows environments have long supported a “</w:t>
      </w:r>
      <w:proofErr w:type="spellStart"/>
      <w:r>
        <w:t>passthru</w:t>
      </w:r>
      <w:proofErr w:type="spellEnd"/>
      <w:r>
        <w:t xml:space="preserve">” authentication feature that works when a currently logged on user’s username and password are the same between two separate environments.  The token created in the source, due to how the password is hashed for NTLM, would work in the other domain. </w:t>
      </w:r>
    </w:p>
    <w:p w14:paraId="74BACC55" w14:textId="602919A8" w:rsidR="00356F9B" w:rsidRDefault="00356F9B" w:rsidP="002D56CC">
      <w:r>
        <w:t>This is an older mechanism and obviously less secure than other methods, but may be effective for certain scenarios.  This also requires that some sort of password synchronization system is employed to handle resets, expirations, and on-demand changes to passwords.</w:t>
      </w:r>
    </w:p>
    <w:p w14:paraId="18C53258" w14:textId="5AD427E3" w:rsidR="00356F9B" w:rsidRDefault="00205C2D" w:rsidP="002D56CC">
      <w:r>
        <w:t>Similar to the other options provided, this is mainly a Microsoft Windows feature.  There is little guarantee that this feature will work all the time or for non-Microsoft applications.</w:t>
      </w:r>
    </w:p>
    <w:p w14:paraId="3491DCE6" w14:textId="77777777" w:rsidR="00205C2D" w:rsidRDefault="00205C2D" w:rsidP="002D56CC"/>
    <w:p w14:paraId="7E369B8D" w14:textId="49FBC2C6" w:rsidR="00205C2D" w:rsidRDefault="00205C2D" w:rsidP="00205C2D">
      <w:pPr>
        <w:pStyle w:val="Heading2"/>
      </w:pPr>
      <w:r>
        <w:t>User migration before applications</w:t>
      </w:r>
    </w:p>
    <w:p w14:paraId="69B172B8" w14:textId="05E77767" w:rsidR="00205C2D" w:rsidRDefault="00205C2D" w:rsidP="00205C2D">
      <w:r>
        <w:t>This last option is one that is simply inherent to Active Directory migrations.  If the active user logs on using the same user account that has the mailbox, that user naturally experiences a SSO event.  However, for this pattern to be effective, the use of SID History in the traditional sense is highly encouraged, if not ultimately required.</w:t>
      </w:r>
    </w:p>
    <w:p w14:paraId="578AE106" w14:textId="18C04B44" w:rsidR="00205C2D" w:rsidRDefault="00205C2D" w:rsidP="00205C2D">
      <w:r>
        <w:t>This is not a highly recommended option due to the nature of the windows user account and its dependency within so many different applications and services.  In cases were AD users (and the domain itself) are migrated first, there are often cases where some users cannot effectively do their work functions because legacy applications don’t work.  This forces some users to move backward and creates a “split brain” scenario where some users operate in one domain while others work in the older.</w:t>
      </w:r>
    </w:p>
    <w:p w14:paraId="6C306C86" w14:textId="6014FBB7" w:rsidR="00205C2D" w:rsidRDefault="00205C2D" w:rsidP="00205C2D">
      <w:r>
        <w:t>The “split brain” scenario complicates migrations of applications and services, including Microsoft Exchange, because of the impact on SSO and general access overall.</w:t>
      </w:r>
    </w:p>
    <w:p w14:paraId="20097805" w14:textId="77777777" w:rsidR="00205C2D" w:rsidRDefault="00205C2D" w:rsidP="00205C2D"/>
    <w:p w14:paraId="264E17CF" w14:textId="77777777" w:rsidR="00205C2D" w:rsidRPr="00205C2D" w:rsidRDefault="00205C2D" w:rsidP="00205C2D">
      <w:bookmarkStart w:id="0" w:name="_GoBack"/>
      <w:bookmarkEnd w:id="0"/>
    </w:p>
    <w:p w14:paraId="69CDFBA4" w14:textId="77777777" w:rsidR="00CD4FC3" w:rsidRPr="002D56CC" w:rsidRDefault="00CD4FC3" w:rsidP="002D56CC"/>
    <w:p w14:paraId="688A0FBA" w14:textId="77777777" w:rsidR="002D56CC" w:rsidRDefault="002D56CC" w:rsidP="002041AE"/>
    <w:p w14:paraId="2846ECC0" w14:textId="77777777" w:rsidR="00A348B5" w:rsidRPr="00A348B5" w:rsidRDefault="00A348B5" w:rsidP="00A348B5"/>
    <w:sectPr w:rsidR="00A348B5" w:rsidRPr="00A348B5" w:rsidSect="006B7E87">
      <w:headerReference w:type="default" r:id="rId8"/>
      <w:footerReference w:type="default" r:id="rId9"/>
      <w:headerReference w:type="first" r:id="rId10"/>
      <w:footerReference w:type="first" r:id="rId11"/>
      <w:pgSz w:w="12240" w:h="15840" w:code="1"/>
      <w:pgMar w:top="144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4222D" w14:textId="77777777" w:rsidR="00963F1E" w:rsidRDefault="00963F1E" w:rsidP="00423F73">
      <w:pPr>
        <w:spacing w:after="0" w:line="240" w:lineRule="auto"/>
      </w:pPr>
      <w:r>
        <w:separator/>
      </w:r>
    </w:p>
  </w:endnote>
  <w:endnote w:type="continuationSeparator" w:id="0">
    <w:p w14:paraId="220BA58E" w14:textId="77777777" w:rsidR="00963F1E" w:rsidRDefault="00963F1E" w:rsidP="0042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45C52" w14:textId="77777777" w:rsidR="008E7CB6" w:rsidRDefault="008D5A8B">
    <w:pPr>
      <w:pStyle w:val="Footer"/>
    </w:pPr>
    <w:r>
      <w:fldChar w:fldCharType="begin"/>
    </w:r>
    <w:r>
      <w:instrText xml:space="preserve"> PAGE    \* MERGEFORMAT </w:instrText>
    </w:r>
    <w:r>
      <w:fldChar w:fldCharType="separate"/>
    </w:r>
    <w:r w:rsidR="00205C2D">
      <w:rPr>
        <w:noProof/>
      </w:rPr>
      <w:t>7</w:t>
    </w:r>
    <w:r>
      <w:fldChar w:fldCharType="end"/>
    </w:r>
    <w:r w:rsidR="008A01AF">
      <w:rPr>
        <w:noProof/>
      </w:rPr>
      <w:drawing>
        <wp:anchor distT="0" distB="0" distL="114300" distR="114300" simplePos="0" relativeHeight="251669504" behindDoc="0" locked="0" layoutInCell="1" allowOverlap="1" wp14:anchorId="60261E98" wp14:editId="3170A7E1">
          <wp:simplePos x="0" y="0"/>
          <wp:positionH relativeFrom="margin">
            <wp:align>right</wp:align>
          </wp:positionH>
          <wp:positionV relativeFrom="paragraph">
            <wp:posOffset>-86390</wp:posOffset>
          </wp:positionV>
          <wp:extent cx="1116419" cy="330446"/>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iasoft logo and tagline.grey.p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419" cy="33044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2DB7B" w14:textId="77777777" w:rsidR="008A01AF" w:rsidRDefault="008A01AF">
    <w:pPr>
      <w:pStyle w:val="Footer"/>
    </w:pPr>
    <w:r>
      <w:rPr>
        <w:noProof/>
      </w:rPr>
      <w:drawing>
        <wp:anchor distT="0" distB="0" distL="114300" distR="114300" simplePos="0" relativeHeight="251670528" behindDoc="0" locked="0" layoutInCell="1" allowOverlap="1" wp14:anchorId="03A0ED32" wp14:editId="4FB83882">
          <wp:simplePos x="0" y="0"/>
          <wp:positionH relativeFrom="margin">
            <wp:posOffset>5245776</wp:posOffset>
          </wp:positionH>
          <wp:positionV relativeFrom="paragraph">
            <wp:posOffset>-86434</wp:posOffset>
          </wp:positionV>
          <wp:extent cx="1149516" cy="340242"/>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asoft logo and tagline.p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1383" cy="34375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D0DB8" w14:textId="77777777" w:rsidR="00963F1E" w:rsidRDefault="00963F1E" w:rsidP="00423F73">
      <w:pPr>
        <w:spacing w:after="0" w:line="240" w:lineRule="auto"/>
      </w:pPr>
      <w:r>
        <w:separator/>
      </w:r>
    </w:p>
  </w:footnote>
  <w:footnote w:type="continuationSeparator" w:id="0">
    <w:p w14:paraId="44C9C3B1" w14:textId="77777777" w:rsidR="00963F1E" w:rsidRDefault="00963F1E" w:rsidP="00423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8B3B2" w14:textId="77777777" w:rsidR="00423F73" w:rsidRDefault="00A92AD5">
    <w:pPr>
      <w:pStyle w:val="Header"/>
    </w:pPr>
    <w:r>
      <w:rPr>
        <w:noProof/>
      </w:rPr>
      <w:drawing>
        <wp:anchor distT="0" distB="0" distL="114300" distR="114300" simplePos="0" relativeHeight="251671552" behindDoc="0" locked="0" layoutInCell="1" allowOverlap="1" wp14:anchorId="6BB05688" wp14:editId="66F48622">
          <wp:simplePos x="0" y="0"/>
          <wp:positionH relativeFrom="page">
            <wp:posOffset>113192</wp:posOffset>
          </wp:positionH>
          <wp:positionV relativeFrom="paragraph">
            <wp:posOffset>-353060</wp:posOffset>
          </wp:positionV>
          <wp:extent cx="520995" cy="5209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riasoft diamond.1.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995" cy="520995"/>
                  </a:xfrm>
                  <a:prstGeom prst="rect">
                    <a:avLst/>
                  </a:prstGeom>
                </pic:spPr>
              </pic:pic>
            </a:graphicData>
          </a:graphic>
          <wp14:sizeRelH relativeFrom="margin">
            <wp14:pctWidth>0</wp14:pctWidth>
          </wp14:sizeRelH>
          <wp14:sizeRelV relativeFrom="margin">
            <wp14:pctHeight>0</wp14:pctHeight>
          </wp14:sizeRelV>
        </wp:anchor>
      </w:drawing>
    </w:r>
    <w:r w:rsidR="00D85DAC">
      <w:rPr>
        <w:noProof/>
      </w:rPr>
      <mc:AlternateContent>
        <mc:Choice Requires="wps">
          <w:drawing>
            <wp:anchor distT="0" distB="0" distL="118745" distR="118745" simplePos="0" relativeHeight="251668480" behindDoc="1" locked="0" layoutInCell="1" allowOverlap="0" wp14:anchorId="4DCAA164" wp14:editId="719E4767">
              <wp:simplePos x="0" y="0"/>
              <wp:positionH relativeFrom="page">
                <wp:align>right</wp:align>
              </wp:positionH>
              <wp:positionV relativeFrom="page">
                <wp:align>top</wp:align>
              </wp:positionV>
              <wp:extent cx="7835900" cy="74422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835900" cy="7442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433248469"/>
                            <w:dataBinding w:prefixMappings="xmlns:ns0='http://purl.org/dc/elements/1.1/' xmlns:ns1='http://schemas.openxmlformats.org/package/2006/metadata/core-properties' " w:xpath="/ns1:coreProperties[1]/ns0:title[1]" w:storeItemID="{6C3C8BC8-F283-45AE-878A-BAB7291924A1}"/>
                            <w:text/>
                          </w:sdtPr>
                          <w:sdtEndPr/>
                          <w:sdtContent>
                            <w:p w14:paraId="496CC1E3" w14:textId="6E945585" w:rsidR="00D85DAC" w:rsidRDefault="006B7E87">
                              <w:pPr>
                                <w:pStyle w:val="Header"/>
                                <w:tabs>
                                  <w:tab w:val="clear" w:pos="4680"/>
                                  <w:tab w:val="clear" w:pos="9360"/>
                                </w:tabs>
                                <w:jc w:val="center"/>
                                <w:rPr>
                                  <w:caps/>
                                  <w:color w:val="FFFFFF" w:themeColor="background1"/>
                                </w:rPr>
                              </w:pPr>
                              <w:r>
                                <w:rPr>
                                  <w:caps/>
                                  <w:color w:val="FFFFFF" w:themeColor="background1"/>
                                </w:rPr>
                                <w:t>Single-Sign-On Options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CAA164" id="Rectangle 197" o:spid="_x0000_s1026" style="position:absolute;margin-left:565.8pt;margin-top:0;width:617pt;height:58.6pt;z-index:-251648000;visibility:visible;mso-wrap-style:square;mso-width-percent:0;mso-height-percent:0;mso-wrap-distance-left:9.35pt;mso-wrap-distance-top:0;mso-wrap-distance-right:9.35pt;mso-wrap-distance-bottom:0;mso-position-horizontal:right;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" o:allowoverlap="f" fillcolor="#2484c6 [3204]" stroked="f" strokeweight="1pt">
              <v:textbox>
                <w:txbxContent>
                  <w:sdt>
                    <w:sdtPr>
                      <w:rPr>
                        <w:caps/>
                        <w:color w:val="FFFFFF" w:themeColor="background1"/>
                      </w:rPr>
                      <w:alias w:val="Title"/>
                      <w:tag w:val=""/>
                      <w:id w:val="433248469"/>
                      <w:dataBinding w:prefixMappings="xmlns:ns0='http://purl.org/dc/elements/1.1/' xmlns:ns1='http://schemas.openxmlformats.org/package/2006/metadata/core-properties' " w:xpath="/ns1:coreProperties[1]/ns0:title[1]" w:storeItemID="{6C3C8BC8-F283-45AE-878A-BAB7291924A1}"/>
                      <w:text/>
                    </w:sdtPr>
                    <w:sdtEndPr/>
                    <w:sdtContent>
                      <w:p w14:paraId="496CC1E3" w14:textId="6E945585" w:rsidR="00D85DAC" w:rsidRDefault="006B7E87">
                        <w:pPr>
                          <w:pStyle w:val="Header"/>
                          <w:tabs>
                            <w:tab w:val="clear" w:pos="4680"/>
                            <w:tab w:val="clear" w:pos="9360"/>
                          </w:tabs>
                          <w:jc w:val="center"/>
                          <w:rPr>
                            <w:caps/>
                            <w:color w:val="FFFFFF" w:themeColor="background1"/>
                          </w:rPr>
                        </w:pPr>
                        <w:r>
                          <w:rPr>
                            <w:caps/>
                            <w:color w:val="FFFFFF" w:themeColor="background1"/>
                          </w:rPr>
                          <w:t>Single-Sign-On Options</w:t>
                        </w:r>
                      </w:p>
                    </w:sdtContent>
                  </w:sdt>
                </w:txbxContent>
              </v:textbox>
              <w10:wrap type="square"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E87D1" w14:textId="77777777" w:rsidR="00E17BC8" w:rsidRDefault="0052218D">
    <w:pPr>
      <w:pStyle w:val="Header"/>
    </w:pPr>
    <w:r>
      <w:rPr>
        <w:noProof/>
      </w:rPr>
      <w:drawing>
        <wp:anchor distT="0" distB="0" distL="114300" distR="114300" simplePos="0" relativeHeight="251672576" behindDoc="0" locked="0" layoutInCell="1" allowOverlap="1" wp14:anchorId="49E5237A" wp14:editId="768ED6C2">
          <wp:simplePos x="0" y="0"/>
          <wp:positionH relativeFrom="column">
            <wp:posOffset>5225415</wp:posOffset>
          </wp:positionH>
          <wp:positionV relativeFrom="paragraph">
            <wp:posOffset>2562225</wp:posOffset>
          </wp:positionV>
          <wp:extent cx="2390775" cy="2362200"/>
          <wp:effectExtent l="19050" t="0" r="66675" b="571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ected Sphere.8.lightoran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0775" cy="23622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0D1CFB4" wp14:editId="6C1A16B6">
          <wp:simplePos x="0" y="0"/>
          <wp:positionH relativeFrom="column">
            <wp:posOffset>1068572</wp:posOffset>
          </wp:positionH>
          <wp:positionV relativeFrom="paragraph">
            <wp:posOffset>1190847</wp:posOffset>
          </wp:positionV>
          <wp:extent cx="2584114" cy="2553713"/>
          <wp:effectExtent l="19050" t="38100" r="254635" b="2470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ed Sphere.4.gree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84114" cy="2553713"/>
                  </a:xfrm>
                  <a:prstGeom prst="rect">
                    <a:avLst/>
                  </a:prstGeom>
                  <a:effectLst>
                    <a:outerShdw blurRad="215900" dist="139700" dir="30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FE63AA7" wp14:editId="7E65004A">
          <wp:simplePos x="0" y="0"/>
          <wp:positionH relativeFrom="page">
            <wp:posOffset>2285454</wp:posOffset>
          </wp:positionH>
          <wp:positionV relativeFrom="paragraph">
            <wp:posOffset>-1868406</wp:posOffset>
          </wp:positionV>
          <wp:extent cx="6567805" cy="6490970"/>
          <wp:effectExtent l="0" t="0" r="156845" b="1193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nected.blue.pct"/>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567805" cy="6490970"/>
                  </a:xfrm>
                  <a:prstGeom prst="rect">
                    <a:avLst/>
                  </a:prstGeom>
                  <a:ln>
                    <a:noFill/>
                  </a:ln>
                  <a:effectLst>
                    <a:outerShdw blurRad="165100" dist="1016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BC8">
      <w:rPr>
        <w:noProof/>
      </w:rPr>
      <mc:AlternateContent>
        <mc:Choice Requires="wps">
          <w:drawing>
            <wp:anchor distT="45720" distB="45720" distL="114300" distR="114300" simplePos="0" relativeHeight="251666432" behindDoc="0" locked="0" layoutInCell="1" allowOverlap="1" wp14:anchorId="03C91F1B" wp14:editId="55BB0AFA">
              <wp:simplePos x="0" y="0"/>
              <wp:positionH relativeFrom="margin">
                <wp:align>left</wp:align>
              </wp:positionH>
              <wp:positionV relativeFrom="paragraph">
                <wp:posOffset>-81974</wp:posOffset>
              </wp:positionV>
              <wp:extent cx="156273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404620"/>
                      </a:xfrm>
                      <a:prstGeom prst="rect">
                        <a:avLst/>
                      </a:prstGeom>
                      <a:noFill/>
                      <a:ln w="9525">
                        <a:noFill/>
                        <a:miter lim="800000"/>
                        <a:headEnd/>
                        <a:tailEnd/>
                      </a:ln>
                    </wps:spPr>
                    <wps:txbx>
                      <w:txbxContent>
                        <w:p w14:paraId="61668053" w14:textId="77777777" w:rsidR="00E17BC8" w:rsidRPr="008E7CB6" w:rsidRDefault="00E17BC8" w:rsidP="00E17BC8">
                          <w:pPr>
                            <w:rPr>
                              <w:color w:val="808080" w:themeColor="background1" w:themeShade="80"/>
                            </w:rPr>
                          </w:pPr>
                          <w:r w:rsidRPr="008E7CB6">
                            <w:rPr>
                              <w:color w:val="808080" w:themeColor="background1" w:themeShade="80"/>
                            </w:rPr>
                            <w:t xml:space="preserve">The </w:t>
                          </w:r>
                          <w:r w:rsidRPr="008E7CB6">
                            <w:rPr>
                              <w:b/>
                              <w:color w:val="1B6294" w:themeColor="accent1" w:themeShade="BF"/>
                            </w:rPr>
                            <w:t>Experts</w:t>
                          </w:r>
                          <w:r w:rsidRPr="008E7CB6">
                            <w:rPr>
                              <w:color w:val="808080" w:themeColor="background1" w:themeShade="80"/>
                            </w:rPr>
                            <w:br/>
                            <w:t>in Exchange Migrations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C91F1B" id="_x0000_t202" coordsize="21600,21600" o:spt="202" path="m,l,21600r21600,l21600,xe">
              <v:stroke joinstyle="miter"/>
              <v:path gradientshapeok="t" o:connecttype="rect"/>
            </v:shapetype>
            <v:shape id="Text Box 2" o:spid="_x0000_s1027" type="#_x0000_t202" style="position:absolute;margin-left:0;margin-top:-6.45pt;width:123.0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" filled="f" stroked="f">
              <v:textbox style="mso-fit-shape-to-text:t">
                <w:txbxContent>
                  <w:p w14:paraId="61668053" w14:textId="77777777" w:rsidR="00E17BC8" w:rsidRPr="008E7CB6" w:rsidRDefault="00E17BC8" w:rsidP="00E17BC8">
                    <w:pPr>
                      <w:rPr>
                        <w:color w:val="808080" w:themeColor="background1" w:themeShade="80"/>
                      </w:rPr>
                    </w:pPr>
                    <w:r w:rsidRPr="008E7CB6">
                      <w:rPr>
                        <w:color w:val="808080" w:themeColor="background1" w:themeShade="80"/>
                      </w:rPr>
                      <w:t xml:space="preserve">The </w:t>
                    </w:r>
                    <w:r w:rsidRPr="008E7CB6">
                      <w:rPr>
                        <w:b/>
                        <w:color w:val="1B6294" w:themeColor="accent1" w:themeShade="BF"/>
                      </w:rPr>
                      <w:t>Experts</w:t>
                    </w:r>
                    <w:r w:rsidRPr="008E7CB6">
                      <w:rPr>
                        <w:color w:val="808080" w:themeColor="background1" w:themeShade="80"/>
                      </w:rPr>
                      <w:br/>
                      <w:t>in Exchange Migrations</w:t>
                    </w: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F5983"/>
    <w:multiLevelType w:val="hybridMultilevel"/>
    <w:tmpl w:val="3BFED426"/>
    <w:lvl w:ilvl="0" w:tplc="44D4F4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A03AC4"/>
    <w:multiLevelType w:val="hybridMultilevel"/>
    <w:tmpl w:val="6A84B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882"/>
    <w:rsid w:val="000433A6"/>
    <w:rsid w:val="00043B55"/>
    <w:rsid w:val="000615F4"/>
    <w:rsid w:val="000A0851"/>
    <w:rsid w:val="001476F9"/>
    <w:rsid w:val="001A13FA"/>
    <w:rsid w:val="002041AE"/>
    <w:rsid w:val="00205C2D"/>
    <w:rsid w:val="002361AA"/>
    <w:rsid w:val="002529F9"/>
    <w:rsid w:val="00262074"/>
    <w:rsid w:val="002B22E3"/>
    <w:rsid w:val="002D56CC"/>
    <w:rsid w:val="00311A89"/>
    <w:rsid w:val="00315792"/>
    <w:rsid w:val="00356F9B"/>
    <w:rsid w:val="00394ADF"/>
    <w:rsid w:val="003D06E4"/>
    <w:rsid w:val="003E14B5"/>
    <w:rsid w:val="00423F73"/>
    <w:rsid w:val="004309FB"/>
    <w:rsid w:val="004519FE"/>
    <w:rsid w:val="004B6FD6"/>
    <w:rsid w:val="00506A7F"/>
    <w:rsid w:val="0052218D"/>
    <w:rsid w:val="00551429"/>
    <w:rsid w:val="00557E70"/>
    <w:rsid w:val="005C1C40"/>
    <w:rsid w:val="00616BDB"/>
    <w:rsid w:val="00617988"/>
    <w:rsid w:val="00671500"/>
    <w:rsid w:val="006B7E87"/>
    <w:rsid w:val="006E7C04"/>
    <w:rsid w:val="00765CC3"/>
    <w:rsid w:val="00803666"/>
    <w:rsid w:val="008514BA"/>
    <w:rsid w:val="00876882"/>
    <w:rsid w:val="008A01AF"/>
    <w:rsid w:val="008D5A8B"/>
    <w:rsid w:val="008E7CB6"/>
    <w:rsid w:val="009174BC"/>
    <w:rsid w:val="00963F1E"/>
    <w:rsid w:val="009E44FF"/>
    <w:rsid w:val="00A348B5"/>
    <w:rsid w:val="00A36169"/>
    <w:rsid w:val="00A56E68"/>
    <w:rsid w:val="00A8050D"/>
    <w:rsid w:val="00A86B03"/>
    <w:rsid w:val="00A92AD5"/>
    <w:rsid w:val="00A940DC"/>
    <w:rsid w:val="00B0621C"/>
    <w:rsid w:val="00B678D5"/>
    <w:rsid w:val="00B72114"/>
    <w:rsid w:val="00B83ADC"/>
    <w:rsid w:val="00B9219E"/>
    <w:rsid w:val="00C41A5A"/>
    <w:rsid w:val="00C9397D"/>
    <w:rsid w:val="00CA2304"/>
    <w:rsid w:val="00CB3D92"/>
    <w:rsid w:val="00CC5D42"/>
    <w:rsid w:val="00CD4FC3"/>
    <w:rsid w:val="00D1635B"/>
    <w:rsid w:val="00D85DAC"/>
    <w:rsid w:val="00DC2B0F"/>
    <w:rsid w:val="00DD4F8A"/>
    <w:rsid w:val="00DF4265"/>
    <w:rsid w:val="00DF5385"/>
    <w:rsid w:val="00E153EF"/>
    <w:rsid w:val="00E17BC8"/>
    <w:rsid w:val="00E97984"/>
    <w:rsid w:val="00EA6F46"/>
    <w:rsid w:val="00ED0EEE"/>
    <w:rsid w:val="00EE1069"/>
    <w:rsid w:val="00EE7214"/>
    <w:rsid w:val="00F66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0CCC1"/>
  <w15:chartTrackingRefBased/>
  <w15:docId w15:val="{ABB7337A-D40C-4F03-904E-8CB8EA1C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114"/>
    <w:rPr>
      <w:rFonts w:ascii="Myriad Pro" w:hAnsi="Myriad Pro"/>
    </w:rPr>
  </w:style>
  <w:style w:type="paragraph" w:styleId="Heading1">
    <w:name w:val="heading 1"/>
    <w:basedOn w:val="Normal"/>
    <w:next w:val="Normal"/>
    <w:link w:val="Heading1Char"/>
    <w:uiPriority w:val="9"/>
    <w:qFormat/>
    <w:rsid w:val="00876882"/>
    <w:pPr>
      <w:keepNext/>
      <w:keepLines/>
      <w:spacing w:before="240" w:after="0"/>
      <w:outlineLvl w:val="0"/>
    </w:pPr>
    <w:rPr>
      <w:rFonts w:asciiTheme="majorHAnsi" w:eastAsiaTheme="majorEastAsia" w:hAnsiTheme="majorHAnsi" w:cstheme="majorBidi"/>
      <w:color w:val="1B6294" w:themeColor="accent1" w:themeShade="BF"/>
      <w:sz w:val="32"/>
      <w:szCs w:val="32"/>
    </w:rPr>
  </w:style>
  <w:style w:type="paragraph" w:styleId="Heading2">
    <w:name w:val="heading 2"/>
    <w:basedOn w:val="Normal"/>
    <w:next w:val="Normal"/>
    <w:link w:val="Heading2Char"/>
    <w:uiPriority w:val="9"/>
    <w:unhideWhenUsed/>
    <w:qFormat/>
    <w:rsid w:val="00A56E68"/>
    <w:pPr>
      <w:keepNext/>
      <w:keepLines/>
      <w:spacing w:before="40" w:after="0"/>
      <w:outlineLvl w:val="1"/>
    </w:pPr>
    <w:rPr>
      <w:rFonts w:asciiTheme="majorHAnsi" w:eastAsiaTheme="majorEastAsia" w:hAnsiTheme="majorHAnsi" w:cstheme="majorBidi"/>
      <w:color w:val="F65619" w:themeColor="accen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F73"/>
  </w:style>
  <w:style w:type="paragraph" w:styleId="Footer">
    <w:name w:val="footer"/>
    <w:basedOn w:val="Normal"/>
    <w:link w:val="FooterChar"/>
    <w:uiPriority w:val="99"/>
    <w:unhideWhenUsed/>
    <w:rsid w:val="00423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F73"/>
  </w:style>
  <w:style w:type="paragraph" w:styleId="Title">
    <w:name w:val="Title"/>
    <w:basedOn w:val="Normal"/>
    <w:next w:val="Normal"/>
    <w:link w:val="TitleChar"/>
    <w:uiPriority w:val="10"/>
    <w:qFormat/>
    <w:rsid w:val="00EE10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069"/>
    <w:rPr>
      <w:rFonts w:asciiTheme="majorHAnsi" w:eastAsiaTheme="majorEastAsia" w:hAnsiTheme="majorHAnsi" w:cstheme="majorBidi"/>
      <w:spacing w:val="-10"/>
      <w:kern w:val="28"/>
      <w:sz w:val="56"/>
      <w:szCs w:val="56"/>
    </w:rPr>
  </w:style>
  <w:style w:type="paragraph" w:customStyle="1" w:styleId="DocTitle">
    <w:name w:val="Doc Title"/>
    <w:basedOn w:val="Title"/>
    <w:link w:val="DocTitleChar"/>
    <w:qFormat/>
    <w:rsid w:val="00EE1069"/>
    <w:rPr>
      <w:rFonts w:ascii="Myriad Pro" w:hAnsi="Myriad Pro"/>
      <w:b/>
      <w:sz w:val="96"/>
    </w:rPr>
  </w:style>
  <w:style w:type="table" w:styleId="TableGrid">
    <w:name w:val="Table Grid"/>
    <w:basedOn w:val="TableNormal"/>
    <w:uiPriority w:val="39"/>
    <w:rsid w:val="008E7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 Title Char"/>
    <w:basedOn w:val="TitleChar"/>
    <w:link w:val="DocTitle"/>
    <w:rsid w:val="00EE1069"/>
    <w:rPr>
      <w:rFonts w:ascii="Myriad Pro" w:eastAsiaTheme="majorEastAsia" w:hAnsi="Myriad Pro" w:cstheme="majorBidi"/>
      <w:b/>
      <w:spacing w:val="-10"/>
      <w:kern w:val="28"/>
      <w:sz w:val="96"/>
      <w:szCs w:val="56"/>
    </w:rPr>
  </w:style>
  <w:style w:type="character" w:styleId="PlaceholderText">
    <w:name w:val="Placeholder Text"/>
    <w:basedOn w:val="DefaultParagraphFont"/>
    <w:uiPriority w:val="99"/>
    <w:semiHidden/>
    <w:rsid w:val="00DD4F8A"/>
    <w:rPr>
      <w:color w:val="808080"/>
    </w:rPr>
  </w:style>
  <w:style w:type="paragraph" w:styleId="NoSpacing">
    <w:name w:val="No Spacing"/>
    <w:link w:val="NoSpacingChar"/>
    <w:uiPriority w:val="1"/>
    <w:qFormat/>
    <w:rsid w:val="00A36169"/>
    <w:pPr>
      <w:spacing w:after="0" w:line="240" w:lineRule="auto"/>
    </w:pPr>
    <w:rPr>
      <w:rFonts w:eastAsiaTheme="minorEastAsia"/>
    </w:rPr>
  </w:style>
  <w:style w:type="character" w:customStyle="1" w:styleId="NoSpacingChar">
    <w:name w:val="No Spacing Char"/>
    <w:basedOn w:val="DefaultParagraphFont"/>
    <w:link w:val="NoSpacing"/>
    <w:uiPriority w:val="1"/>
    <w:rsid w:val="00A36169"/>
    <w:rPr>
      <w:rFonts w:eastAsiaTheme="minorEastAsia"/>
    </w:rPr>
  </w:style>
  <w:style w:type="paragraph" w:styleId="Subtitle">
    <w:name w:val="Subtitle"/>
    <w:basedOn w:val="Normal"/>
    <w:next w:val="Normal"/>
    <w:link w:val="SubtitleChar"/>
    <w:uiPriority w:val="11"/>
    <w:qFormat/>
    <w:rsid w:val="00C41A5A"/>
    <w:pPr>
      <w:numPr>
        <w:ilvl w:val="1"/>
      </w:numPr>
    </w:pPr>
    <w:rPr>
      <w:rFonts w:asciiTheme="minorHAnsi" w:eastAsiaTheme="minorEastAsia" w:hAnsiTheme="minorHAnsi"/>
      <w:caps/>
      <w:color w:val="5A5A5A" w:themeColor="text1" w:themeTint="A5"/>
      <w:spacing w:val="15"/>
    </w:rPr>
  </w:style>
  <w:style w:type="character" w:customStyle="1" w:styleId="SubtitleChar">
    <w:name w:val="Subtitle Char"/>
    <w:basedOn w:val="DefaultParagraphFont"/>
    <w:link w:val="Subtitle"/>
    <w:uiPriority w:val="11"/>
    <w:rsid w:val="00C41A5A"/>
    <w:rPr>
      <w:rFonts w:eastAsiaTheme="minorEastAsia"/>
      <w:caps/>
      <w:color w:val="5A5A5A" w:themeColor="text1" w:themeTint="A5"/>
      <w:spacing w:val="15"/>
    </w:rPr>
  </w:style>
  <w:style w:type="character" w:customStyle="1" w:styleId="Heading2Char">
    <w:name w:val="Heading 2 Char"/>
    <w:basedOn w:val="DefaultParagraphFont"/>
    <w:link w:val="Heading2"/>
    <w:uiPriority w:val="9"/>
    <w:rsid w:val="00A56E68"/>
    <w:rPr>
      <w:rFonts w:asciiTheme="majorHAnsi" w:eastAsiaTheme="majorEastAsia" w:hAnsiTheme="majorHAnsi" w:cstheme="majorBidi"/>
      <w:color w:val="F65619" w:themeColor="accent2"/>
      <w:sz w:val="26"/>
      <w:szCs w:val="26"/>
    </w:rPr>
  </w:style>
  <w:style w:type="character" w:customStyle="1" w:styleId="Heading1Char">
    <w:name w:val="Heading 1 Char"/>
    <w:basedOn w:val="DefaultParagraphFont"/>
    <w:link w:val="Heading1"/>
    <w:uiPriority w:val="9"/>
    <w:rsid w:val="00876882"/>
    <w:rPr>
      <w:rFonts w:asciiTheme="majorHAnsi" w:eastAsiaTheme="majorEastAsia" w:hAnsiTheme="majorHAnsi" w:cstheme="majorBidi"/>
      <w:color w:val="1B6294" w:themeColor="accent1" w:themeShade="BF"/>
      <w:sz w:val="32"/>
      <w:szCs w:val="32"/>
    </w:rPr>
  </w:style>
  <w:style w:type="character" w:styleId="IntenseReference">
    <w:name w:val="Intense Reference"/>
    <w:basedOn w:val="DefaultParagraphFont"/>
    <w:uiPriority w:val="32"/>
    <w:qFormat/>
    <w:rsid w:val="00876882"/>
    <w:rPr>
      <w:b/>
      <w:bCs/>
      <w:smallCaps/>
      <w:color w:val="2484C6" w:themeColor="accent1"/>
      <w:spacing w:val="5"/>
    </w:rPr>
  </w:style>
  <w:style w:type="paragraph" w:styleId="ListParagraph">
    <w:name w:val="List Paragraph"/>
    <w:basedOn w:val="Normal"/>
    <w:uiPriority w:val="34"/>
    <w:qFormat/>
    <w:rsid w:val="00DF5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q\OneDrive\Documents\Priasoft%20Docs\WHITE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EA86C6F4892402C91741BE61BD11512"/>
        <w:category>
          <w:name w:val="General"/>
          <w:gallery w:val="placeholder"/>
        </w:category>
        <w:types>
          <w:type w:val="bbPlcHdr"/>
        </w:types>
        <w:behaviors>
          <w:behavior w:val="content"/>
        </w:behaviors>
        <w:guid w:val="{9F222001-335C-477D-A60A-17F49B72D8FA}"/>
      </w:docPartPr>
      <w:docPartBody>
        <w:p w:rsidR="007066AD" w:rsidRDefault="007066AD">
          <w:pPr>
            <w:pStyle w:val="5EA86C6F4892402C91741BE61BD11512"/>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Arial"/>
    <w:panose1 w:val="00000000000000000000"/>
    <w:charset w:val="00"/>
    <w:family w:val="swiss"/>
    <w:notTrueType/>
    <w:pitch w:val="variable"/>
    <w:sig w:usb0="00000001"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6AD"/>
    <w:rsid w:val="004A4BEA"/>
    <w:rsid w:val="007066AD"/>
    <w:rsid w:val="00EB1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A86C6F4892402C91741BE61BD11512">
    <w:name w:val="5EA86C6F4892402C91741BE61BD115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riasoft Colors">
      <a:dk1>
        <a:sysClr val="windowText" lastClr="000000"/>
      </a:dk1>
      <a:lt1>
        <a:sysClr val="window" lastClr="FFFFFF"/>
      </a:lt1>
      <a:dk2>
        <a:srgbClr val="1A6192"/>
      </a:dk2>
      <a:lt2>
        <a:srgbClr val="AAAAAC"/>
      </a:lt2>
      <a:accent1>
        <a:srgbClr val="2484C6"/>
      </a:accent1>
      <a:accent2>
        <a:srgbClr val="F65619"/>
      </a:accent2>
      <a:accent3>
        <a:srgbClr val="807F83"/>
      </a:accent3>
      <a:accent4>
        <a:srgbClr val="44A43B"/>
      </a:accent4>
      <a:accent5>
        <a:srgbClr val="FAAA8A"/>
      </a:accent5>
      <a:accent6>
        <a:srgbClr val="8FD488"/>
      </a:accent6>
      <a:hlink>
        <a:srgbClr val="2484C6"/>
      </a:hlink>
      <a:folHlink>
        <a:srgbClr val="807F83"/>
      </a:folHlink>
    </a:clrScheme>
    <a:fontScheme name="Priasoft">
      <a:majorFont>
        <a:latin typeface="Myriad Pro Light"/>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WHITEPAPER.dotx</Template>
  <TotalTime>551</TotalTime>
  <Pages>8</Pages>
  <Words>3076</Words>
  <Characters>17536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Single-Sign-On Options</vt:lpstr>
    </vt:vector>
  </TitlesOfParts>
  <Company/>
  <LinksUpToDate>false</LinksUpToDate>
  <CharactersWithSpaces>20571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Single-Sign-On Options</dc:title>
  <dc:subject/>
  <dc:creator>Eriq VanBibber</dc:creator>
  <cp:keywords/>
  <dc:description/>
  <cp:lastModifiedBy>Eriq VanBibber</cp:lastModifiedBy>
  <cp:revision>15</cp:revision>
  <dcterms:created xsi:type="dcterms:W3CDTF">2018-02-01T17:49:00Z</dcterms:created>
  <dcterms:modified xsi:type="dcterms:W3CDTF">2018-02-02T03:19:00Z</dcterms:modified>
</cp:coreProperties>
</file>